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828A0" w14:textId="018CE564" w:rsidR="00B5681E" w:rsidRDefault="0055346F" w:rsidP="00B5681E">
      <w:pPr>
        <w:rPr>
          <w:rFonts w:ascii="Trebuchet MS" w:hAnsi="Trebuchet MS"/>
          <w:sz w:val="20"/>
          <w:szCs w:val="20"/>
        </w:rPr>
      </w:pPr>
      <w:r>
        <w:rPr>
          <w:rFonts w:ascii="Trebuchet MS" w:hAnsi="Trebuchet MS"/>
          <w:sz w:val="20"/>
          <w:szCs w:val="20"/>
        </w:rPr>
        <w:t>DRITTER SEKTOR IM FOKUS</w:t>
      </w:r>
    </w:p>
    <w:p w14:paraId="06DB4377" w14:textId="07AD65E7" w:rsidR="00B5681E" w:rsidRDefault="0055346F" w:rsidP="00B5681E">
      <w:pPr>
        <w:jc w:val="both"/>
        <w:rPr>
          <w:rFonts w:ascii="Trebuchet MS" w:hAnsi="Trebuchet MS"/>
          <w:sz w:val="20"/>
          <w:szCs w:val="20"/>
        </w:rPr>
      </w:pPr>
      <w:r>
        <w:rPr>
          <w:rFonts w:ascii="Trebuchet MS" w:hAnsi="Trebuchet MS"/>
          <w:sz w:val="20"/>
          <w:szCs w:val="20"/>
        </w:rPr>
        <w:t>V</w:t>
      </w:r>
      <w:r w:rsidR="00B5681E">
        <w:rPr>
          <w:rFonts w:ascii="Trebuchet MS" w:hAnsi="Trebuchet MS"/>
          <w:sz w:val="20"/>
          <w:szCs w:val="20"/>
        </w:rPr>
        <w:t xml:space="preserve">ielfach herrscht zum Thema „Dritter Sektor“ noch sehr viel Unsicherheit. Aufgrund der Tatsache, dass das nationale Einheitsregister des Dritten Sektors („RUNTS“) öffentlich einsehbar ist, hat der </w:t>
      </w:r>
      <w:r>
        <w:rPr>
          <w:rFonts w:ascii="Trebuchet MS" w:hAnsi="Trebuchet MS"/>
          <w:sz w:val="20"/>
          <w:szCs w:val="20"/>
        </w:rPr>
        <w:t xml:space="preserve">Südtiroler </w:t>
      </w:r>
      <w:r w:rsidR="00B5681E">
        <w:rPr>
          <w:rFonts w:ascii="Trebuchet MS" w:hAnsi="Trebuchet MS"/>
          <w:sz w:val="20"/>
          <w:szCs w:val="20"/>
        </w:rPr>
        <w:t xml:space="preserve">Theaterverband die Situation der Mitgliedsbühnen überprüft. Dabei wurde festgestellt, dass </w:t>
      </w:r>
      <w:r>
        <w:rPr>
          <w:rFonts w:ascii="Trebuchet MS" w:hAnsi="Trebuchet MS"/>
          <w:sz w:val="20"/>
          <w:szCs w:val="20"/>
        </w:rPr>
        <w:t>sehr viele</w:t>
      </w:r>
      <w:r w:rsidR="00B5681E">
        <w:rPr>
          <w:rFonts w:ascii="Trebuchet MS" w:hAnsi="Trebuchet MS"/>
          <w:sz w:val="20"/>
          <w:szCs w:val="20"/>
        </w:rPr>
        <w:t xml:space="preserve"> Mitgliedsvereine nicht im RUNTS aufscheinen oder nicht definitiv eingetragen wurden. Aufgrund dieser Informationen sieht der </w:t>
      </w:r>
      <w:r>
        <w:rPr>
          <w:rFonts w:ascii="Trebuchet MS" w:hAnsi="Trebuchet MS"/>
          <w:sz w:val="20"/>
          <w:szCs w:val="20"/>
        </w:rPr>
        <w:t xml:space="preserve">Südtiroler </w:t>
      </w:r>
      <w:r w:rsidR="00B5681E">
        <w:rPr>
          <w:rFonts w:ascii="Trebuchet MS" w:hAnsi="Trebuchet MS"/>
          <w:sz w:val="20"/>
          <w:szCs w:val="20"/>
        </w:rPr>
        <w:t>Theaterverband die Notwendigkeit</w:t>
      </w:r>
      <w:r>
        <w:rPr>
          <w:rFonts w:ascii="Trebuchet MS" w:hAnsi="Trebuchet MS"/>
          <w:sz w:val="20"/>
          <w:szCs w:val="20"/>
        </w:rPr>
        <w:t xml:space="preserve"> </w:t>
      </w:r>
      <w:r w:rsidR="00B5681E">
        <w:rPr>
          <w:rFonts w:ascii="Trebuchet MS" w:hAnsi="Trebuchet MS"/>
          <w:sz w:val="20"/>
          <w:szCs w:val="20"/>
        </w:rPr>
        <w:t xml:space="preserve">über einige Themen zum Dritten Sektor detaillierte Auskünfte zu geben, mit der dringenden Empfehlung die Sache aktiv anzugehen. </w:t>
      </w:r>
    </w:p>
    <w:p w14:paraId="24B7EEB2" w14:textId="77777777" w:rsidR="00B5681E" w:rsidRDefault="00B5681E" w:rsidP="00B5681E">
      <w:pPr>
        <w:jc w:val="both"/>
        <w:rPr>
          <w:rFonts w:ascii="Trebuchet MS" w:hAnsi="Trebuchet MS"/>
          <w:sz w:val="20"/>
          <w:szCs w:val="20"/>
        </w:rPr>
      </w:pPr>
    </w:p>
    <w:p w14:paraId="3F4CDA90" w14:textId="77777777" w:rsidR="00B5681E" w:rsidRPr="0042649E" w:rsidRDefault="00B5681E" w:rsidP="00B5681E">
      <w:pPr>
        <w:pStyle w:val="Listenabsatz"/>
        <w:numPr>
          <w:ilvl w:val="0"/>
          <w:numId w:val="3"/>
        </w:numPr>
        <w:jc w:val="both"/>
        <w:rPr>
          <w:rFonts w:ascii="Trebuchet MS" w:hAnsi="Trebuchet MS"/>
          <w:b/>
          <w:bCs/>
          <w:u w:val="single"/>
        </w:rPr>
      </w:pPr>
      <w:r w:rsidRPr="0042649E">
        <w:rPr>
          <w:rFonts w:ascii="Trebuchet MS" w:hAnsi="Trebuchet MS"/>
          <w:b/>
          <w:bCs/>
          <w:u w:val="single"/>
        </w:rPr>
        <w:t xml:space="preserve">Vorstellung des Entwurfes zum Ehrenamtsgesetz </w:t>
      </w:r>
      <w:r>
        <w:rPr>
          <w:rFonts w:ascii="Trebuchet MS" w:hAnsi="Trebuchet MS"/>
          <w:b/>
          <w:bCs/>
          <w:u w:val="single"/>
        </w:rPr>
        <w:t xml:space="preserve">und Landesverzeichnis gemeinnütziger Organisationen </w:t>
      </w:r>
      <w:r w:rsidRPr="0042649E">
        <w:rPr>
          <w:rFonts w:ascii="Trebuchet MS" w:hAnsi="Trebuchet MS"/>
          <w:b/>
          <w:bCs/>
          <w:u w:val="single"/>
        </w:rPr>
        <w:t>am 25. Juli 2024</w:t>
      </w:r>
    </w:p>
    <w:p w14:paraId="02698D20" w14:textId="0B7DEDA5" w:rsidR="00B5681E" w:rsidRDefault="00B5681E" w:rsidP="00B5681E">
      <w:pPr>
        <w:jc w:val="both"/>
        <w:rPr>
          <w:rFonts w:ascii="Trebuchet MS" w:hAnsi="Trebuchet MS"/>
          <w:sz w:val="20"/>
          <w:szCs w:val="20"/>
        </w:rPr>
      </w:pPr>
      <w:r>
        <w:rPr>
          <w:rFonts w:ascii="Trebuchet MS" w:hAnsi="Trebuchet MS"/>
          <w:sz w:val="20"/>
          <w:szCs w:val="20"/>
        </w:rPr>
        <w:t xml:space="preserve">Am 25. Juli </w:t>
      </w:r>
      <w:r w:rsidR="0055346F">
        <w:rPr>
          <w:rFonts w:ascii="Trebuchet MS" w:hAnsi="Trebuchet MS"/>
          <w:sz w:val="20"/>
          <w:szCs w:val="20"/>
        </w:rPr>
        <w:t xml:space="preserve">2024 </w:t>
      </w:r>
      <w:r>
        <w:rPr>
          <w:rFonts w:ascii="Trebuchet MS" w:hAnsi="Trebuchet MS"/>
          <w:sz w:val="20"/>
          <w:szCs w:val="20"/>
        </w:rPr>
        <w:t xml:space="preserve">wurde im Palais Widmann in Bozen der Entwurf zum neuen Ehrenamtsgesetz der Autonomen Provinz Bozen von LR Rosmarie Pamer und dem zuständigen Ressort vorgestellt. Ziel des Gesetzes ist es, geeignete Rahmenbedingungen für das Ehrenamt in Südtirol zu schaffen. Dazu wird ein Landesregister eingeführt werden, in dem sich gemeinnützige Organisationen eintragen lassen können. Die Vereine des Dritten Sektors werden von Rechtswegen in dieses Register eingetragen. </w:t>
      </w:r>
    </w:p>
    <w:p w14:paraId="2657AAB1" w14:textId="77777777" w:rsidR="00B5681E" w:rsidRDefault="00B5681E" w:rsidP="00B5681E">
      <w:pPr>
        <w:jc w:val="both"/>
        <w:rPr>
          <w:rFonts w:ascii="Trebuchet MS" w:hAnsi="Trebuchet MS"/>
          <w:sz w:val="20"/>
          <w:szCs w:val="20"/>
        </w:rPr>
      </w:pPr>
      <w:r>
        <w:rPr>
          <w:rFonts w:ascii="Trebuchet MS" w:hAnsi="Trebuchet MS"/>
          <w:sz w:val="20"/>
          <w:szCs w:val="20"/>
        </w:rPr>
        <w:t xml:space="preserve">Durch die Eintragung in das Landesverzeichnis haben die Vereine die Möglichkeit wirtschaftliche Vergünstigungen und Steuererleichterungen, die in den Zuständigkeitsbereich des Landes oder der Gemeinden fallen, in Anspruch zu nehmen (z.B. GIS-Reduzierung). </w:t>
      </w:r>
    </w:p>
    <w:p w14:paraId="0C3C0646" w14:textId="77777777" w:rsidR="00B5681E" w:rsidRDefault="00B5681E" w:rsidP="00B5681E">
      <w:pPr>
        <w:jc w:val="both"/>
        <w:rPr>
          <w:rFonts w:ascii="Trebuchet MS" w:hAnsi="Trebuchet MS"/>
          <w:sz w:val="20"/>
          <w:szCs w:val="20"/>
        </w:rPr>
      </w:pPr>
      <w:r>
        <w:rPr>
          <w:rFonts w:ascii="Trebuchet MS" w:hAnsi="Trebuchet MS"/>
          <w:sz w:val="20"/>
          <w:szCs w:val="20"/>
        </w:rPr>
        <w:t xml:space="preserve">Zur Erinnerung: das Land hat keine Gesetzgebungsbefugnis bei staatlichen Steuerregelungen! Deshalb kann das Land mit der Eintragung in das Landesverzeichnis keine Erleichterungen im Bereich MwSt., Steuern, 5 Promille etc. gewähren. </w:t>
      </w:r>
    </w:p>
    <w:p w14:paraId="75C957DC" w14:textId="77777777" w:rsidR="00B5681E" w:rsidRDefault="00B5681E" w:rsidP="00B5681E">
      <w:pPr>
        <w:jc w:val="both"/>
        <w:rPr>
          <w:rFonts w:ascii="Trebuchet MS" w:hAnsi="Trebuchet MS"/>
          <w:sz w:val="20"/>
          <w:szCs w:val="20"/>
        </w:rPr>
      </w:pPr>
      <w:r>
        <w:rPr>
          <w:rFonts w:ascii="Trebuchet MS" w:hAnsi="Trebuchet MS"/>
          <w:sz w:val="20"/>
          <w:szCs w:val="20"/>
        </w:rPr>
        <w:t xml:space="preserve">Genau aus diesem Grund ist die Eintragung der Vereine in das Register des Dritten Sektors unabdingbar. Ohne die Eintragung in das RUNTS können keine steuerlichen Erleichterungen staatlicher Kompetenz in Anspruch genommen werden. </w:t>
      </w:r>
    </w:p>
    <w:p w14:paraId="483C881C" w14:textId="77777777" w:rsidR="00B5681E" w:rsidRPr="005332DE" w:rsidRDefault="00B5681E" w:rsidP="00B5681E">
      <w:pPr>
        <w:jc w:val="both"/>
        <w:rPr>
          <w:rFonts w:ascii="Trebuchet MS" w:hAnsi="Trebuchet MS"/>
          <w:sz w:val="20"/>
          <w:szCs w:val="20"/>
        </w:rPr>
      </w:pPr>
      <w:r w:rsidRPr="005332DE">
        <w:rPr>
          <w:rFonts w:ascii="Trebuchet MS" w:hAnsi="Trebuchet MS"/>
          <w:sz w:val="20"/>
          <w:szCs w:val="20"/>
        </w:rPr>
        <w:t>Die Initiative „Ehrenamt in Not“</w:t>
      </w:r>
      <w:r>
        <w:rPr>
          <w:rFonts w:ascii="Trebuchet MS" w:hAnsi="Trebuchet MS"/>
          <w:sz w:val="20"/>
          <w:szCs w:val="20"/>
        </w:rPr>
        <w:t>,</w:t>
      </w:r>
      <w:r w:rsidRPr="005332DE">
        <w:rPr>
          <w:rFonts w:ascii="Trebuchet MS" w:hAnsi="Trebuchet MS"/>
          <w:sz w:val="20"/>
          <w:szCs w:val="20"/>
        </w:rPr>
        <w:t xml:space="preserve"> zu der auch der Südtiroler Theaterverband gehört, hat nach der Vorstellung des Ehrenamtsgesetzes umfangreiche Änderungsvorschläge ausgearbeitet und diese am 20. August 2024 der Landesrätin Pamer vorgelegt.</w:t>
      </w:r>
    </w:p>
    <w:p w14:paraId="398950AA" w14:textId="77777777" w:rsidR="00544E0A" w:rsidRDefault="00544E0A" w:rsidP="00B5681E">
      <w:pPr>
        <w:jc w:val="both"/>
        <w:rPr>
          <w:rFonts w:ascii="Trebuchet MS" w:hAnsi="Trebuchet MS"/>
          <w:sz w:val="20"/>
          <w:szCs w:val="20"/>
        </w:rPr>
      </w:pPr>
    </w:p>
    <w:p w14:paraId="5873E312" w14:textId="77777777" w:rsidR="00B5681E" w:rsidRPr="0042649E" w:rsidRDefault="00B5681E" w:rsidP="00B5681E">
      <w:pPr>
        <w:pStyle w:val="Listenabsatz"/>
        <w:numPr>
          <w:ilvl w:val="0"/>
          <w:numId w:val="3"/>
        </w:numPr>
        <w:jc w:val="both"/>
        <w:rPr>
          <w:rFonts w:ascii="Trebuchet MS" w:hAnsi="Trebuchet MS"/>
          <w:b/>
          <w:bCs/>
          <w:u w:val="single"/>
        </w:rPr>
      </w:pPr>
      <w:r w:rsidRPr="0042649E">
        <w:rPr>
          <w:rFonts w:ascii="Trebuchet MS" w:hAnsi="Trebuchet MS"/>
          <w:b/>
          <w:bCs/>
          <w:u w:val="single"/>
        </w:rPr>
        <w:t>Entscheidung zur Ein- oder Austragung im RUNTS</w:t>
      </w:r>
    </w:p>
    <w:p w14:paraId="70DB0D6A" w14:textId="77777777" w:rsidR="00B5681E" w:rsidRDefault="00B5681E" w:rsidP="00B5681E">
      <w:pPr>
        <w:jc w:val="both"/>
        <w:rPr>
          <w:rFonts w:ascii="Trebuchet MS" w:hAnsi="Trebuchet MS"/>
          <w:sz w:val="20"/>
          <w:szCs w:val="20"/>
        </w:rPr>
      </w:pPr>
      <w:r>
        <w:rPr>
          <w:rFonts w:ascii="Trebuchet MS" w:hAnsi="Trebuchet MS"/>
          <w:sz w:val="20"/>
          <w:szCs w:val="20"/>
        </w:rPr>
        <w:t>Die Geschäftsstelle hat bereits in mehreren Rundschreiben auf die Möglichkeiten der Eintragung in das RUNTS und die Entscheidungsfindung hingewiesen. Nachdem wie bereits erwähnt, etliche Vereine noch keine Entscheidung getroffen haben bzw. noch nicht im Register des Dritten Sektors eingetragen sind, erachtet es die Geschäftsstelle als unbedingt notwendig, nochmals auf das Thema hinzuweisen.</w:t>
      </w:r>
    </w:p>
    <w:p w14:paraId="1E9EA095" w14:textId="4F8F18EC" w:rsidR="00B5681E" w:rsidRDefault="0055346F" w:rsidP="00B5681E">
      <w:pPr>
        <w:jc w:val="both"/>
        <w:rPr>
          <w:rFonts w:ascii="Trebuchet MS" w:hAnsi="Trebuchet MS"/>
          <w:sz w:val="20"/>
          <w:szCs w:val="20"/>
        </w:rPr>
      </w:pPr>
      <w:r>
        <w:rPr>
          <w:rFonts w:ascii="Trebuchet MS" w:hAnsi="Trebuchet MS"/>
          <w:sz w:val="20"/>
          <w:szCs w:val="20"/>
        </w:rPr>
        <w:t>Für alle Vereine, die</w:t>
      </w:r>
      <w:r w:rsidR="00B5681E">
        <w:rPr>
          <w:rFonts w:ascii="Trebuchet MS" w:hAnsi="Trebuchet MS"/>
          <w:sz w:val="20"/>
          <w:szCs w:val="20"/>
        </w:rPr>
        <w:t xml:space="preserve"> nicht in das RUNTS-eingetragen</w:t>
      </w:r>
      <w:r>
        <w:rPr>
          <w:rFonts w:ascii="Trebuchet MS" w:hAnsi="Trebuchet MS"/>
          <w:sz w:val="20"/>
          <w:szCs w:val="20"/>
        </w:rPr>
        <w:t xml:space="preserve"> sind, verfallen </w:t>
      </w:r>
      <w:r w:rsidR="00B5681E">
        <w:rPr>
          <w:rFonts w:ascii="Trebuchet MS" w:hAnsi="Trebuchet MS"/>
          <w:sz w:val="20"/>
          <w:szCs w:val="20"/>
        </w:rPr>
        <w:t xml:space="preserve">mit dem Jahr 2025 alle steuerlichen Begünstigungen, sodass weder für die 5 Promille angesucht werden kann, noch Spenden abgesetzt werden können. Zusätzlich müssen nicht-eingetragene Vereine damit rechnen, dass die Einnahmen z.B. aus Theaterproduktionen, voll besteuert werden. </w:t>
      </w:r>
    </w:p>
    <w:p w14:paraId="46833E62" w14:textId="77777777" w:rsidR="00B5681E" w:rsidRDefault="00B5681E" w:rsidP="00B5681E">
      <w:pPr>
        <w:jc w:val="both"/>
        <w:rPr>
          <w:rFonts w:ascii="Trebuchet MS" w:hAnsi="Trebuchet MS"/>
          <w:sz w:val="20"/>
          <w:szCs w:val="20"/>
        </w:rPr>
      </w:pPr>
      <w:r>
        <w:rPr>
          <w:rFonts w:ascii="Trebuchet MS" w:hAnsi="Trebuchet MS"/>
          <w:sz w:val="20"/>
          <w:szCs w:val="20"/>
        </w:rPr>
        <w:t>Demgegenüber genießen in das Register des dritten Sektors eingetragene Vereine eine Reihe von Vorteilen:</w:t>
      </w:r>
    </w:p>
    <w:p w14:paraId="33FD0FAB" w14:textId="77777777" w:rsidR="00B5681E" w:rsidRDefault="00B5681E" w:rsidP="00B5681E">
      <w:pPr>
        <w:pStyle w:val="Listenabsatz"/>
        <w:numPr>
          <w:ilvl w:val="0"/>
          <w:numId w:val="2"/>
        </w:numPr>
        <w:jc w:val="both"/>
        <w:rPr>
          <w:rFonts w:ascii="Trebuchet MS" w:hAnsi="Trebuchet MS"/>
          <w:sz w:val="20"/>
          <w:szCs w:val="20"/>
        </w:rPr>
      </w:pPr>
      <w:r>
        <w:rPr>
          <w:rFonts w:ascii="Trebuchet MS" w:hAnsi="Trebuchet MS"/>
          <w:sz w:val="20"/>
          <w:szCs w:val="20"/>
        </w:rPr>
        <w:t xml:space="preserve">Steuerliche Vorteile bei gewerblichen Tätigkeiten. Dazu zählt sowohl die Besteuerung, als auch die Anwendung des Pauschalsystems im Dritten Sektor und die Anwendung der Regelung für gewerbliche Nebentätigkeiten. </w:t>
      </w:r>
    </w:p>
    <w:p w14:paraId="0E4ED357" w14:textId="77777777" w:rsidR="00B5681E" w:rsidRDefault="00B5681E" w:rsidP="00B5681E">
      <w:pPr>
        <w:pStyle w:val="Listenabsatz"/>
        <w:numPr>
          <w:ilvl w:val="0"/>
          <w:numId w:val="2"/>
        </w:numPr>
        <w:jc w:val="both"/>
        <w:rPr>
          <w:rFonts w:ascii="Trebuchet MS" w:hAnsi="Trebuchet MS"/>
          <w:sz w:val="20"/>
          <w:szCs w:val="20"/>
        </w:rPr>
      </w:pPr>
      <w:r>
        <w:rPr>
          <w:rFonts w:ascii="Trebuchet MS" w:hAnsi="Trebuchet MS"/>
          <w:sz w:val="20"/>
          <w:szCs w:val="20"/>
        </w:rPr>
        <w:t>Ansuchen der 5 Promille sind möglich;</w:t>
      </w:r>
    </w:p>
    <w:p w14:paraId="010E5746" w14:textId="77777777" w:rsidR="00B5681E" w:rsidRDefault="00B5681E" w:rsidP="00B5681E">
      <w:pPr>
        <w:pStyle w:val="Listenabsatz"/>
        <w:numPr>
          <w:ilvl w:val="0"/>
          <w:numId w:val="2"/>
        </w:numPr>
        <w:jc w:val="both"/>
        <w:rPr>
          <w:rFonts w:ascii="Trebuchet MS" w:hAnsi="Trebuchet MS"/>
          <w:sz w:val="20"/>
          <w:szCs w:val="20"/>
        </w:rPr>
      </w:pPr>
      <w:r>
        <w:rPr>
          <w:rFonts w:ascii="Trebuchet MS" w:hAnsi="Trebuchet MS"/>
          <w:sz w:val="20"/>
          <w:szCs w:val="20"/>
        </w:rPr>
        <w:t xml:space="preserve">Absetzbarkeit der Spenden für Privatpersonen und Unternehmen; </w:t>
      </w:r>
    </w:p>
    <w:p w14:paraId="1E36C16B" w14:textId="77777777" w:rsidR="00B5681E" w:rsidRDefault="00B5681E" w:rsidP="00B5681E">
      <w:pPr>
        <w:pStyle w:val="Listenabsatz"/>
        <w:numPr>
          <w:ilvl w:val="0"/>
          <w:numId w:val="2"/>
        </w:numPr>
        <w:jc w:val="both"/>
        <w:rPr>
          <w:rFonts w:ascii="Trebuchet MS" w:hAnsi="Trebuchet MS"/>
          <w:sz w:val="20"/>
          <w:szCs w:val="20"/>
        </w:rPr>
      </w:pPr>
      <w:r>
        <w:rPr>
          <w:rFonts w:ascii="Trebuchet MS" w:hAnsi="Trebuchet MS"/>
          <w:sz w:val="20"/>
          <w:szCs w:val="20"/>
        </w:rPr>
        <w:t>Befreiung der Stempel- und Registergebühren;</w:t>
      </w:r>
    </w:p>
    <w:p w14:paraId="35A6E710" w14:textId="77777777" w:rsidR="00B5681E" w:rsidRDefault="00B5681E" w:rsidP="00B5681E">
      <w:pPr>
        <w:pStyle w:val="Listenabsatz"/>
        <w:numPr>
          <w:ilvl w:val="0"/>
          <w:numId w:val="2"/>
        </w:numPr>
        <w:jc w:val="both"/>
        <w:rPr>
          <w:rFonts w:ascii="Trebuchet MS" w:hAnsi="Trebuchet MS"/>
          <w:sz w:val="20"/>
          <w:szCs w:val="20"/>
        </w:rPr>
      </w:pPr>
      <w:r>
        <w:rPr>
          <w:rFonts w:ascii="Trebuchet MS" w:hAnsi="Trebuchet MS"/>
          <w:sz w:val="20"/>
          <w:szCs w:val="20"/>
        </w:rPr>
        <w:t>Befreiung von der regionalen Wertschöpfungssteuer IRAP;</w:t>
      </w:r>
    </w:p>
    <w:p w14:paraId="5EFB10D6" w14:textId="77777777" w:rsidR="00B5681E" w:rsidRDefault="00B5681E" w:rsidP="00B5681E">
      <w:pPr>
        <w:pStyle w:val="Listenabsatz"/>
        <w:numPr>
          <w:ilvl w:val="0"/>
          <w:numId w:val="2"/>
        </w:numPr>
        <w:jc w:val="both"/>
        <w:rPr>
          <w:rFonts w:ascii="Trebuchet MS" w:hAnsi="Trebuchet MS"/>
          <w:sz w:val="20"/>
          <w:szCs w:val="20"/>
        </w:rPr>
      </w:pPr>
      <w:r>
        <w:rPr>
          <w:rFonts w:ascii="Trebuchet MS" w:hAnsi="Trebuchet MS"/>
          <w:sz w:val="20"/>
          <w:szCs w:val="20"/>
        </w:rPr>
        <w:t xml:space="preserve">Erleichterungen im Bereich GIS; </w:t>
      </w:r>
    </w:p>
    <w:p w14:paraId="60C1D6EE" w14:textId="77777777" w:rsidR="00B5681E" w:rsidRDefault="00B5681E" w:rsidP="00B5681E">
      <w:pPr>
        <w:jc w:val="both"/>
        <w:rPr>
          <w:rFonts w:ascii="Trebuchet MS" w:hAnsi="Trebuchet MS"/>
          <w:sz w:val="20"/>
          <w:szCs w:val="20"/>
        </w:rPr>
      </w:pPr>
      <w:r>
        <w:rPr>
          <w:rFonts w:ascii="Trebuchet MS" w:hAnsi="Trebuchet MS"/>
          <w:sz w:val="20"/>
          <w:szCs w:val="20"/>
        </w:rPr>
        <w:t xml:space="preserve">Zwar bringt die Eintragung in den Dritten Sektor einigen bürokratischen Aufwand mit sich, z.B. die Führung und regelmäßige Aktualisierung des RUNTS-Registers, die Erstellung der Jahresabschlussrechnung nach den Vorgaben des Dritten Sektors und die regelmäßige Überprüfung </w:t>
      </w:r>
      <w:r>
        <w:rPr>
          <w:rFonts w:ascii="Trebuchet MS" w:hAnsi="Trebuchet MS"/>
          <w:sz w:val="20"/>
          <w:szCs w:val="20"/>
        </w:rPr>
        <w:lastRenderedPageBreak/>
        <w:t xml:space="preserve">der Neuerungen, jedoch hat sich gezeigt, </w:t>
      </w:r>
      <w:r w:rsidRPr="008E629A">
        <w:rPr>
          <w:rFonts w:ascii="Trebuchet MS" w:hAnsi="Trebuchet MS"/>
          <w:sz w:val="20"/>
          <w:szCs w:val="20"/>
        </w:rPr>
        <w:t xml:space="preserve">dass Vereine nach der erfolgten Eintragung im RUNTS </w:t>
      </w:r>
      <w:r w:rsidRPr="009045D1">
        <w:rPr>
          <w:rFonts w:ascii="Trebuchet MS" w:hAnsi="Trebuchet MS"/>
          <w:sz w:val="20"/>
          <w:szCs w:val="20"/>
        </w:rPr>
        <w:t xml:space="preserve">ab </w:t>
      </w:r>
      <w:r w:rsidRPr="008E629A">
        <w:rPr>
          <w:rFonts w:ascii="Trebuchet MS" w:hAnsi="Trebuchet MS"/>
          <w:sz w:val="20"/>
          <w:szCs w:val="20"/>
        </w:rPr>
        <w:t xml:space="preserve">der nächsten Aktualisierung bis zum Folgejahr keine weiteren Verpflichtungen </w:t>
      </w:r>
      <w:r>
        <w:rPr>
          <w:rFonts w:ascii="Trebuchet MS" w:hAnsi="Trebuchet MS"/>
          <w:sz w:val="20"/>
          <w:szCs w:val="20"/>
        </w:rPr>
        <w:t>einhalten müssen</w:t>
      </w:r>
      <w:r w:rsidRPr="008E629A">
        <w:rPr>
          <w:rFonts w:ascii="Trebuchet MS" w:hAnsi="Trebuchet MS"/>
          <w:sz w:val="20"/>
          <w:szCs w:val="20"/>
        </w:rPr>
        <w:t xml:space="preserve"> und sich an die Vorgehensweise gewöhnt haben</w:t>
      </w:r>
      <w:r>
        <w:rPr>
          <w:rFonts w:ascii="Trebuchet MS" w:hAnsi="Trebuchet MS"/>
          <w:sz w:val="20"/>
          <w:szCs w:val="20"/>
        </w:rPr>
        <w:t xml:space="preserve">. Mittlerweile gibt es auch einige gute Videoanleitungen zu den obengenannten Vorgängen und auch die Geschäftsstelle ist gerne behilflich. Das RUNTS ist zwar ein staatliches Register, wird aber von der Landesverwaltung (Amt für Freiwilligenwesen und Solidarität) geführt und kann auch in deutscher Sprache bedient werden. </w:t>
      </w:r>
    </w:p>
    <w:p w14:paraId="62E61169" w14:textId="77777777" w:rsidR="00544E0A" w:rsidRPr="00500FA1" w:rsidRDefault="00544E0A" w:rsidP="00B5681E">
      <w:pPr>
        <w:jc w:val="both"/>
        <w:rPr>
          <w:rFonts w:ascii="Trebuchet MS" w:hAnsi="Trebuchet MS"/>
          <w:sz w:val="20"/>
          <w:szCs w:val="20"/>
        </w:rPr>
      </w:pPr>
    </w:p>
    <w:p w14:paraId="6CFDCFF4" w14:textId="77777777" w:rsidR="00B5681E" w:rsidRPr="0042649E" w:rsidRDefault="00B5681E" w:rsidP="00B5681E">
      <w:pPr>
        <w:pStyle w:val="Listenabsatz"/>
        <w:numPr>
          <w:ilvl w:val="0"/>
          <w:numId w:val="3"/>
        </w:numPr>
        <w:jc w:val="both"/>
        <w:rPr>
          <w:rFonts w:ascii="Trebuchet MS" w:hAnsi="Trebuchet MS"/>
          <w:b/>
          <w:bCs/>
          <w:u w:val="single"/>
        </w:rPr>
      </w:pPr>
      <w:r w:rsidRPr="0042649E">
        <w:rPr>
          <w:rFonts w:ascii="Trebuchet MS" w:hAnsi="Trebuchet MS"/>
          <w:b/>
          <w:bCs/>
          <w:u w:val="single"/>
        </w:rPr>
        <w:t xml:space="preserve">Vereine, </w:t>
      </w:r>
      <w:r>
        <w:rPr>
          <w:rFonts w:ascii="Trebuchet MS" w:hAnsi="Trebuchet MS"/>
          <w:b/>
          <w:bCs/>
          <w:u w:val="single"/>
        </w:rPr>
        <w:t>die</w:t>
      </w:r>
      <w:r w:rsidRPr="0042649E">
        <w:rPr>
          <w:rFonts w:ascii="Trebuchet MS" w:hAnsi="Trebuchet MS"/>
          <w:b/>
          <w:bCs/>
          <w:u w:val="single"/>
        </w:rPr>
        <w:t xml:space="preserve"> provisorisch im Runts</w:t>
      </w:r>
      <w:r>
        <w:rPr>
          <w:rFonts w:ascii="Trebuchet MS" w:hAnsi="Trebuchet MS"/>
          <w:b/>
          <w:bCs/>
          <w:u w:val="single"/>
        </w:rPr>
        <w:t>-</w:t>
      </w:r>
      <w:r w:rsidRPr="0042649E">
        <w:rPr>
          <w:rFonts w:ascii="Trebuchet MS" w:hAnsi="Trebuchet MS"/>
          <w:b/>
          <w:bCs/>
          <w:u w:val="single"/>
        </w:rPr>
        <w:t>Register eingetragen sind</w:t>
      </w:r>
    </w:p>
    <w:p w14:paraId="601FA785" w14:textId="77777777" w:rsidR="00B5681E" w:rsidRDefault="00B5681E" w:rsidP="00B5681E">
      <w:pPr>
        <w:jc w:val="both"/>
        <w:rPr>
          <w:rFonts w:ascii="Trebuchet MS" w:hAnsi="Trebuchet MS"/>
          <w:sz w:val="20"/>
          <w:szCs w:val="20"/>
        </w:rPr>
      </w:pPr>
      <w:r>
        <w:rPr>
          <w:rFonts w:ascii="Trebuchet MS" w:hAnsi="Trebuchet MS"/>
          <w:sz w:val="20"/>
          <w:szCs w:val="20"/>
        </w:rPr>
        <w:t xml:space="preserve">Vereine, die provisorisch im Register des Dritten Sektors eingetragen sind, müssen eine Entscheidung fällen. </w:t>
      </w:r>
    </w:p>
    <w:p w14:paraId="396A781A" w14:textId="77777777" w:rsidR="00B5681E" w:rsidRDefault="00B5681E" w:rsidP="00B5681E">
      <w:pPr>
        <w:jc w:val="both"/>
        <w:rPr>
          <w:rFonts w:ascii="Trebuchet MS" w:hAnsi="Trebuchet MS"/>
          <w:sz w:val="20"/>
          <w:szCs w:val="20"/>
        </w:rPr>
      </w:pPr>
      <w:r>
        <w:rPr>
          <w:rFonts w:ascii="Trebuchet MS" w:hAnsi="Trebuchet MS"/>
          <w:sz w:val="20"/>
          <w:szCs w:val="20"/>
        </w:rPr>
        <w:t>Hierzu muss dem Amt für Freiwilligenwesen und Solidarität folgendes mitgeteilt werden:</w:t>
      </w:r>
    </w:p>
    <w:p w14:paraId="448E4EAB" w14:textId="77777777" w:rsidR="00B5681E" w:rsidRDefault="00B5681E" w:rsidP="00B5681E">
      <w:pPr>
        <w:pStyle w:val="Listenabsatz"/>
        <w:numPr>
          <w:ilvl w:val="0"/>
          <w:numId w:val="1"/>
        </w:numPr>
        <w:jc w:val="both"/>
        <w:rPr>
          <w:rFonts w:ascii="Trebuchet MS" w:hAnsi="Trebuchet MS"/>
          <w:sz w:val="20"/>
          <w:szCs w:val="20"/>
        </w:rPr>
      </w:pPr>
      <w:r>
        <w:rPr>
          <w:rFonts w:ascii="Trebuchet MS" w:hAnsi="Trebuchet MS"/>
          <w:sz w:val="20"/>
          <w:szCs w:val="20"/>
        </w:rPr>
        <w:t>Mitteilung, falls sich der Verein austragen lassen will*</w:t>
      </w:r>
    </w:p>
    <w:p w14:paraId="226CCC11" w14:textId="77777777" w:rsidR="00B5681E" w:rsidRDefault="00B5681E" w:rsidP="00B5681E">
      <w:pPr>
        <w:pStyle w:val="Listenabsatz"/>
        <w:numPr>
          <w:ilvl w:val="0"/>
          <w:numId w:val="1"/>
        </w:numPr>
        <w:jc w:val="both"/>
        <w:rPr>
          <w:rFonts w:ascii="Trebuchet MS" w:hAnsi="Trebuchet MS"/>
          <w:sz w:val="20"/>
          <w:szCs w:val="20"/>
        </w:rPr>
      </w:pPr>
      <w:r>
        <w:rPr>
          <w:rFonts w:ascii="Trebuchet MS" w:hAnsi="Trebuchet MS"/>
          <w:sz w:val="20"/>
          <w:szCs w:val="20"/>
        </w:rPr>
        <w:t xml:space="preserve">Übermittlung der angepassten Satzungen und des Datenblattes, falls der Verein sich definitiv im Dritten Sektor eintragen lassen will. </w:t>
      </w:r>
    </w:p>
    <w:p w14:paraId="42DD68C4" w14:textId="77777777" w:rsidR="00B5681E" w:rsidRDefault="00B5681E" w:rsidP="00B5681E">
      <w:pPr>
        <w:jc w:val="both"/>
        <w:rPr>
          <w:rFonts w:ascii="Trebuchet MS" w:hAnsi="Trebuchet MS"/>
          <w:sz w:val="20"/>
          <w:szCs w:val="20"/>
        </w:rPr>
      </w:pPr>
      <w:r>
        <w:rPr>
          <w:rFonts w:ascii="Trebuchet MS" w:hAnsi="Trebuchet MS"/>
          <w:sz w:val="20"/>
          <w:szCs w:val="20"/>
        </w:rPr>
        <w:t>*</w:t>
      </w:r>
      <w:r w:rsidRPr="00672FCE">
        <w:rPr>
          <w:rFonts w:ascii="Trebuchet MS" w:hAnsi="Trebuchet MS"/>
          <w:sz w:val="20"/>
          <w:szCs w:val="20"/>
        </w:rPr>
        <w:t xml:space="preserve">Achtung: eine eventuelle Austragung kann negative Konsequenzen mit sich führen, siehe dazu untenstehende Passage bzgl. Zuweisung des Vermögens bei </w:t>
      </w:r>
      <w:r>
        <w:rPr>
          <w:rFonts w:ascii="Trebuchet MS" w:hAnsi="Trebuchet MS"/>
          <w:sz w:val="20"/>
          <w:szCs w:val="20"/>
        </w:rPr>
        <w:t>Austritt</w:t>
      </w:r>
      <w:r w:rsidRPr="00672FCE">
        <w:rPr>
          <w:rFonts w:ascii="Trebuchet MS" w:hAnsi="Trebuchet MS"/>
          <w:sz w:val="20"/>
          <w:szCs w:val="20"/>
        </w:rPr>
        <w:t>.</w:t>
      </w:r>
      <w:r>
        <w:rPr>
          <w:rFonts w:ascii="Trebuchet MS" w:hAnsi="Trebuchet MS"/>
          <w:sz w:val="20"/>
          <w:szCs w:val="20"/>
        </w:rPr>
        <w:t xml:space="preserve"> </w:t>
      </w:r>
    </w:p>
    <w:p w14:paraId="6607EB01" w14:textId="77777777" w:rsidR="00544E0A" w:rsidRDefault="00544E0A" w:rsidP="00B5681E">
      <w:pPr>
        <w:jc w:val="both"/>
        <w:rPr>
          <w:rFonts w:ascii="Trebuchet MS" w:hAnsi="Trebuchet MS"/>
          <w:sz w:val="20"/>
          <w:szCs w:val="20"/>
        </w:rPr>
      </w:pPr>
    </w:p>
    <w:p w14:paraId="490730DC" w14:textId="77777777" w:rsidR="00B5681E" w:rsidRPr="0042649E" w:rsidRDefault="00B5681E" w:rsidP="00B5681E">
      <w:pPr>
        <w:pStyle w:val="Listenabsatz"/>
        <w:numPr>
          <w:ilvl w:val="0"/>
          <w:numId w:val="3"/>
        </w:numPr>
        <w:jc w:val="both"/>
        <w:rPr>
          <w:rFonts w:ascii="Trebuchet MS" w:hAnsi="Trebuchet MS"/>
          <w:b/>
          <w:bCs/>
          <w:u w:val="single"/>
        </w:rPr>
      </w:pPr>
      <w:r w:rsidRPr="0042649E">
        <w:rPr>
          <w:rFonts w:ascii="Trebuchet MS" w:hAnsi="Trebuchet MS"/>
          <w:b/>
          <w:bCs/>
          <w:u w:val="single"/>
        </w:rPr>
        <w:t xml:space="preserve">Vereine, </w:t>
      </w:r>
      <w:r>
        <w:rPr>
          <w:rFonts w:ascii="Trebuchet MS" w:hAnsi="Trebuchet MS"/>
          <w:b/>
          <w:bCs/>
          <w:u w:val="single"/>
        </w:rPr>
        <w:t>die</w:t>
      </w:r>
      <w:r w:rsidRPr="0042649E">
        <w:rPr>
          <w:rFonts w:ascii="Trebuchet MS" w:hAnsi="Trebuchet MS"/>
          <w:b/>
          <w:bCs/>
          <w:u w:val="single"/>
        </w:rPr>
        <w:t xml:space="preserve"> nicht im Runts</w:t>
      </w:r>
      <w:r>
        <w:rPr>
          <w:rFonts w:ascii="Trebuchet MS" w:hAnsi="Trebuchet MS"/>
          <w:b/>
          <w:bCs/>
          <w:u w:val="single"/>
        </w:rPr>
        <w:t>-</w:t>
      </w:r>
      <w:r w:rsidRPr="0042649E">
        <w:rPr>
          <w:rFonts w:ascii="Trebuchet MS" w:hAnsi="Trebuchet MS"/>
          <w:b/>
          <w:bCs/>
          <w:u w:val="single"/>
        </w:rPr>
        <w:t>Register eingetragen sind</w:t>
      </w:r>
    </w:p>
    <w:p w14:paraId="33EA5159" w14:textId="77777777" w:rsidR="00B5681E" w:rsidRDefault="00B5681E" w:rsidP="00B5681E">
      <w:pPr>
        <w:jc w:val="both"/>
        <w:rPr>
          <w:rFonts w:ascii="Trebuchet MS" w:hAnsi="Trebuchet MS"/>
          <w:sz w:val="20"/>
          <w:szCs w:val="20"/>
        </w:rPr>
      </w:pPr>
      <w:r>
        <w:rPr>
          <w:rFonts w:ascii="Trebuchet MS" w:hAnsi="Trebuchet MS"/>
          <w:sz w:val="20"/>
          <w:szCs w:val="20"/>
        </w:rPr>
        <w:t xml:space="preserve">Vereine, die noch nicht eingetragen sind, müssen entscheiden, ob sie sich im RUNTS eintragen lassen möchten oder nicht. Eine Eintragung ist nur notwendig, wenn Vereine auch die oben genannten Vorteile beanspruchen wollen. Vereine, welche die Tätigkeiten ausschließlich auf die eigenen Mitglieder beschränken und keine steuerlichen Vorteile benötigen, müssen sich nicht eintragen lassen. </w:t>
      </w:r>
    </w:p>
    <w:p w14:paraId="3F3F8C9D" w14:textId="77777777" w:rsidR="00B5681E" w:rsidRDefault="00B5681E" w:rsidP="00B5681E">
      <w:pPr>
        <w:jc w:val="both"/>
        <w:rPr>
          <w:rFonts w:ascii="Trebuchet MS" w:hAnsi="Trebuchet MS"/>
          <w:sz w:val="20"/>
          <w:szCs w:val="20"/>
        </w:rPr>
      </w:pPr>
      <w:r w:rsidRPr="00E2701C">
        <w:rPr>
          <w:rFonts w:ascii="Trebuchet MS" w:hAnsi="Trebuchet MS"/>
          <w:b/>
          <w:bCs/>
          <w:sz w:val="20"/>
          <w:szCs w:val="20"/>
        </w:rPr>
        <w:t xml:space="preserve">Achtung: </w:t>
      </w:r>
      <w:r>
        <w:rPr>
          <w:rFonts w:ascii="Trebuchet MS" w:hAnsi="Trebuchet MS"/>
          <w:sz w:val="20"/>
          <w:szCs w:val="20"/>
        </w:rPr>
        <w:t xml:space="preserve">Vereine, die nicht im Dritten Sektor eingetragen sind und für die aller Voraussicht nach ab dem Jahr 2025 die steuerlichen Begünstigungen verfallen, müssen Einnahmen wie Eintritte, Verkauf von Essen und Getränke, Werbung etc. voll und ganz versteuern! Auch aus diesem Grund sollte die Eintragung in den Dritten Sektor vorgezogen werden. </w:t>
      </w:r>
    </w:p>
    <w:p w14:paraId="2BBFA34C" w14:textId="77777777" w:rsidR="00544E0A" w:rsidRDefault="00544E0A" w:rsidP="00B5681E">
      <w:pPr>
        <w:jc w:val="both"/>
        <w:rPr>
          <w:rFonts w:ascii="Trebuchet MS" w:hAnsi="Trebuchet MS"/>
          <w:sz w:val="20"/>
          <w:szCs w:val="20"/>
        </w:rPr>
      </w:pPr>
    </w:p>
    <w:p w14:paraId="62DB0695" w14:textId="77777777" w:rsidR="00B5681E" w:rsidRPr="0042649E" w:rsidRDefault="00B5681E" w:rsidP="00B5681E">
      <w:pPr>
        <w:pStyle w:val="Listenabsatz"/>
        <w:numPr>
          <w:ilvl w:val="0"/>
          <w:numId w:val="3"/>
        </w:numPr>
        <w:jc w:val="both"/>
        <w:rPr>
          <w:rFonts w:ascii="Trebuchet MS" w:hAnsi="Trebuchet MS"/>
          <w:b/>
          <w:bCs/>
          <w:u w:val="single"/>
        </w:rPr>
      </w:pPr>
      <w:r w:rsidRPr="0042649E">
        <w:rPr>
          <w:rFonts w:ascii="Trebuchet MS" w:hAnsi="Trebuchet MS"/>
          <w:b/>
          <w:bCs/>
          <w:u w:val="single"/>
        </w:rPr>
        <w:t>Erstellung Jahresabschlussrechnung und Klarstellung der Einstufung der Eintritte</w:t>
      </w:r>
    </w:p>
    <w:p w14:paraId="079870A7" w14:textId="77777777" w:rsidR="00B5681E" w:rsidRDefault="00B5681E" w:rsidP="00B5681E">
      <w:pPr>
        <w:jc w:val="both"/>
        <w:rPr>
          <w:rFonts w:ascii="Trebuchet MS" w:hAnsi="Trebuchet MS"/>
          <w:sz w:val="20"/>
          <w:szCs w:val="20"/>
        </w:rPr>
      </w:pPr>
      <w:r>
        <w:rPr>
          <w:rFonts w:ascii="Trebuchet MS" w:hAnsi="Trebuchet MS"/>
          <w:sz w:val="20"/>
          <w:szCs w:val="20"/>
        </w:rPr>
        <w:t xml:space="preserve">Das DZE hat im Auftrag des Südtiroler Theaterverbandes am 16. Mai 2024 online einen Infoabend ausschließlich für Theatervereine abgehalten, in welchem insbesondere auf das Thema der Jahresabschlussrechnung und die korrekte Zuordnung von Einnahmen eingegangen wurde. Der Vortrag kann unter folgendem Link angesehen werden. </w:t>
      </w:r>
      <w:hyperlink r:id="rId8" w:history="1">
        <w:r>
          <w:rPr>
            <w:rStyle w:val="Hyperlink"/>
          </w:rPr>
          <w:t>16.05.2024 - Infoabend Theaterverband (youtube.com)</w:t>
        </w:r>
      </w:hyperlink>
    </w:p>
    <w:p w14:paraId="7E266711" w14:textId="77777777" w:rsidR="00B5681E" w:rsidRPr="00361834" w:rsidRDefault="00B5681E" w:rsidP="00B5681E">
      <w:pPr>
        <w:jc w:val="both"/>
        <w:rPr>
          <w:rFonts w:ascii="Trebuchet MS" w:hAnsi="Trebuchet MS"/>
          <w:sz w:val="20"/>
          <w:szCs w:val="20"/>
        </w:rPr>
      </w:pPr>
      <w:r>
        <w:rPr>
          <w:rFonts w:ascii="Trebuchet MS" w:hAnsi="Trebuchet MS"/>
          <w:sz w:val="20"/>
          <w:szCs w:val="20"/>
        </w:rPr>
        <w:t xml:space="preserve">Aufgrund einiger Nachfragen ist es wichtig zu präzisieren, wie die Einnahmen aus Eintritten in der Jahresabschlussrechnung korrekt eingeordnet werden müssen. Nach Erachten der Geschäftsstelle stellen die Einnahmen aus Eintritten keine andere Tätigkeiten gemäß Art. 6 des KDS dar, da das Theaterspielen die Haupttätigkeit darstellt. Ebenso wenig sind diese als Fundraising-Tätigkeiten zu klassifizieren, da sie keine Geldsammlung sind, sondern die logische Konsequenz aus dem Einheben einer Eintrittsgebühr für eine Theateraufführung. Die einzige verbleibende Möglichkeit ist somit die Ausweisung der Einnahmen aus Eintritten unter dem Punkt A.7 „Einzahlungen aus Dienstleistungen an Dritte“. Diese Einstufung hat nichts mit der Besteuerung zu tun, denn diese hängt von verschiedenen Faktoren, wie der Gewohnheitsmäßigkeit, der Art und Höhe der Einnahmen zusammen. </w:t>
      </w:r>
    </w:p>
    <w:p w14:paraId="224D046B" w14:textId="77777777" w:rsidR="00B5681E" w:rsidRDefault="00B5681E" w:rsidP="00B5681E">
      <w:pPr>
        <w:jc w:val="both"/>
        <w:rPr>
          <w:rFonts w:ascii="Trebuchet MS" w:hAnsi="Trebuchet MS"/>
          <w:sz w:val="20"/>
          <w:szCs w:val="20"/>
        </w:rPr>
      </w:pPr>
      <w:r w:rsidRPr="000C377A">
        <w:rPr>
          <w:rFonts w:ascii="Trebuchet MS" w:hAnsi="Trebuchet MS"/>
          <w:b/>
          <w:bCs/>
          <w:sz w:val="20"/>
          <w:szCs w:val="20"/>
          <w:u w:val="single"/>
        </w:rPr>
        <w:t>Neuerung:</w:t>
      </w:r>
      <w:r>
        <w:rPr>
          <w:rFonts w:ascii="Trebuchet MS" w:hAnsi="Trebuchet MS"/>
          <w:sz w:val="20"/>
          <w:szCs w:val="20"/>
        </w:rPr>
        <w:t xml:space="preserve"> Mit dem Gesetz Nr. 104 vom 04. Juli 2024 wurden einige Neuerungen im Bereich Dritter Sektor eingeführt. So gibt es nun für Vereine unter 60.000 Euro Einnahmen die Möglichkeit, die Jahresabschlussrechnung in zusammenfassender Form abzufassen. Hierfür bedarf es aber noch einer Klarstellung. Da eine Jahresabschlussrechnung für die Mitglieder auf jeden Fall erstellt werden muss, ist laut unseres Erachtens diese Vereinfachung hinfällig. </w:t>
      </w:r>
    </w:p>
    <w:p w14:paraId="7FAF3F7B" w14:textId="77777777" w:rsidR="00B5681E" w:rsidRDefault="00B5681E" w:rsidP="00B5681E">
      <w:pPr>
        <w:jc w:val="both"/>
        <w:rPr>
          <w:rFonts w:ascii="Trebuchet MS" w:hAnsi="Trebuchet MS"/>
          <w:sz w:val="20"/>
          <w:szCs w:val="20"/>
          <w:u w:val="single"/>
        </w:rPr>
      </w:pPr>
    </w:p>
    <w:p w14:paraId="01233DE2" w14:textId="77777777" w:rsidR="00B5681E" w:rsidRPr="0042649E" w:rsidRDefault="00B5681E" w:rsidP="00B5681E">
      <w:pPr>
        <w:pStyle w:val="Listenabsatz"/>
        <w:numPr>
          <w:ilvl w:val="0"/>
          <w:numId w:val="3"/>
        </w:numPr>
        <w:jc w:val="both"/>
        <w:rPr>
          <w:rFonts w:ascii="Trebuchet MS" w:hAnsi="Trebuchet MS"/>
          <w:b/>
          <w:bCs/>
          <w:u w:val="single"/>
        </w:rPr>
      </w:pPr>
      <w:r w:rsidRPr="0042649E">
        <w:rPr>
          <w:rFonts w:ascii="Trebuchet MS" w:hAnsi="Trebuchet MS"/>
          <w:b/>
          <w:bCs/>
          <w:u w:val="single"/>
        </w:rPr>
        <w:t>Zuweisung des Vermögenszuwachses bei Austritt aus dem RUNTS-Register</w:t>
      </w:r>
    </w:p>
    <w:p w14:paraId="4009C5AB" w14:textId="77777777" w:rsidR="00B5681E" w:rsidRDefault="00B5681E" w:rsidP="00B5681E">
      <w:pPr>
        <w:jc w:val="both"/>
        <w:rPr>
          <w:rFonts w:ascii="Trebuchet MS" w:hAnsi="Trebuchet MS"/>
          <w:sz w:val="20"/>
          <w:szCs w:val="20"/>
        </w:rPr>
      </w:pPr>
      <w:r>
        <w:rPr>
          <w:rFonts w:ascii="Trebuchet MS" w:hAnsi="Trebuchet MS"/>
          <w:sz w:val="20"/>
          <w:szCs w:val="20"/>
        </w:rPr>
        <w:lastRenderedPageBreak/>
        <w:t>An die Geschäftsstelle wurden einige Anfragen gestellt, wie es sich beim Austritt aus dem RUNTS mit der Zuweisung des Vermögenszuwachses verhält.</w:t>
      </w:r>
    </w:p>
    <w:p w14:paraId="51F0FE4C" w14:textId="77777777" w:rsidR="00B5681E" w:rsidRDefault="00B5681E" w:rsidP="00B5681E">
      <w:pPr>
        <w:jc w:val="both"/>
        <w:rPr>
          <w:rFonts w:ascii="Trebuchet MS" w:hAnsi="Trebuchet MS"/>
          <w:sz w:val="20"/>
          <w:szCs w:val="20"/>
        </w:rPr>
      </w:pPr>
      <w:r>
        <w:rPr>
          <w:rFonts w:ascii="Trebuchet MS" w:hAnsi="Trebuchet MS"/>
          <w:sz w:val="20"/>
          <w:szCs w:val="20"/>
        </w:rPr>
        <w:t>Zur Erinnerung:</w:t>
      </w:r>
    </w:p>
    <w:p w14:paraId="2558925C" w14:textId="77777777" w:rsidR="00B5681E" w:rsidRDefault="00B5681E" w:rsidP="00B5681E">
      <w:pPr>
        <w:jc w:val="both"/>
        <w:rPr>
          <w:rFonts w:ascii="Trebuchet MS" w:hAnsi="Trebuchet MS"/>
          <w:sz w:val="20"/>
          <w:szCs w:val="20"/>
          <w:u w:val="single"/>
        </w:rPr>
      </w:pPr>
      <w:r>
        <w:rPr>
          <w:rFonts w:ascii="Trebuchet MS" w:hAnsi="Trebuchet MS"/>
          <w:sz w:val="20"/>
          <w:szCs w:val="20"/>
        </w:rPr>
        <w:t xml:space="preserve">Mit dem Kodex des Dritten Sektors wird festgelegt, dass bei </w:t>
      </w:r>
      <w:r w:rsidRPr="00B10CA9">
        <w:rPr>
          <w:rFonts w:ascii="Trebuchet MS" w:hAnsi="Trebuchet MS"/>
          <w:sz w:val="20"/>
          <w:szCs w:val="20"/>
          <w:u w:val="single"/>
        </w:rPr>
        <w:t xml:space="preserve">Auflösung des Vereins </w:t>
      </w:r>
      <w:r w:rsidRPr="009045D1">
        <w:rPr>
          <w:rFonts w:ascii="Trebuchet MS" w:hAnsi="Trebuchet MS"/>
          <w:sz w:val="20"/>
          <w:szCs w:val="20"/>
        </w:rPr>
        <w:t xml:space="preserve">das </w:t>
      </w:r>
      <w:r>
        <w:rPr>
          <w:rFonts w:ascii="Trebuchet MS" w:hAnsi="Trebuchet MS"/>
          <w:sz w:val="20"/>
          <w:szCs w:val="20"/>
        </w:rPr>
        <w:t>verbleibende</w:t>
      </w:r>
      <w:r w:rsidRPr="009045D1">
        <w:rPr>
          <w:rFonts w:ascii="Trebuchet MS" w:hAnsi="Trebuchet MS"/>
          <w:sz w:val="20"/>
          <w:szCs w:val="20"/>
        </w:rPr>
        <w:t xml:space="preserve"> Vermögen anderen Körperschaften des Dritten Sektors zugewiesen werden muss.</w:t>
      </w:r>
    </w:p>
    <w:p w14:paraId="51F3AAB6" w14:textId="77777777" w:rsidR="00B5681E" w:rsidRDefault="00B5681E" w:rsidP="00B5681E">
      <w:pPr>
        <w:jc w:val="both"/>
        <w:rPr>
          <w:rFonts w:ascii="Trebuchet MS" w:hAnsi="Trebuchet MS"/>
          <w:sz w:val="20"/>
          <w:szCs w:val="20"/>
        </w:rPr>
      </w:pPr>
      <w:r>
        <w:rPr>
          <w:rFonts w:ascii="Trebuchet MS" w:hAnsi="Trebuchet MS"/>
          <w:sz w:val="20"/>
          <w:szCs w:val="20"/>
          <w:u w:val="single"/>
        </w:rPr>
        <w:t xml:space="preserve">Bei </w:t>
      </w:r>
      <w:r w:rsidRPr="00B10CA9">
        <w:rPr>
          <w:rFonts w:ascii="Trebuchet MS" w:hAnsi="Trebuchet MS"/>
          <w:sz w:val="20"/>
          <w:szCs w:val="20"/>
          <w:u w:val="single"/>
        </w:rPr>
        <w:t>Austritt</w:t>
      </w:r>
      <w:r>
        <w:rPr>
          <w:rFonts w:ascii="Trebuchet MS" w:hAnsi="Trebuchet MS"/>
          <w:sz w:val="20"/>
          <w:szCs w:val="20"/>
          <w:u w:val="single"/>
        </w:rPr>
        <w:t xml:space="preserve"> oder Ausschluss eines Vereins</w:t>
      </w:r>
      <w:r w:rsidRPr="00B10CA9">
        <w:rPr>
          <w:rFonts w:ascii="Trebuchet MS" w:hAnsi="Trebuchet MS"/>
          <w:sz w:val="20"/>
          <w:szCs w:val="20"/>
          <w:u w:val="single"/>
        </w:rPr>
        <w:t xml:space="preserve"> aus dem Dritten Sektor</w:t>
      </w:r>
      <w:r>
        <w:rPr>
          <w:rFonts w:ascii="Trebuchet MS" w:hAnsi="Trebuchet MS"/>
          <w:sz w:val="20"/>
          <w:szCs w:val="20"/>
        </w:rPr>
        <w:t>, der danach als Verein laut Zivilgesetzbuch operativ bleibt, muss der während der Eintragung im Register des Dritten Sektors erwirtschaftete Vermögenszuwachs anderen Körperschaften des Dritten Sektors zugewiesen werden. Das vor Eintragung in das Register erwirtschaftete Vermögen kann die austretende Körperschaft behalten.</w:t>
      </w:r>
    </w:p>
    <w:p w14:paraId="0BE8F96A" w14:textId="77777777" w:rsidR="00B5681E" w:rsidRDefault="00B5681E" w:rsidP="00B5681E">
      <w:pPr>
        <w:jc w:val="both"/>
        <w:rPr>
          <w:rFonts w:ascii="Trebuchet MS" w:hAnsi="Trebuchet MS"/>
          <w:sz w:val="20"/>
          <w:szCs w:val="20"/>
        </w:rPr>
      </w:pPr>
      <w:r>
        <w:rPr>
          <w:rFonts w:ascii="Trebuchet MS" w:hAnsi="Trebuchet MS"/>
          <w:sz w:val="20"/>
          <w:szCs w:val="20"/>
        </w:rPr>
        <w:t xml:space="preserve">Das Ministerium für Arbeit und Sozialpolitik hat am 08. August das Arbeitspapier Nr. 11508 veröffentlicht, </w:t>
      </w:r>
      <w:r w:rsidRPr="00C34E1A">
        <w:rPr>
          <w:rFonts w:ascii="Trebuchet MS" w:hAnsi="Trebuchet MS"/>
          <w:sz w:val="20"/>
          <w:szCs w:val="20"/>
        </w:rPr>
        <w:t xml:space="preserve">in </w:t>
      </w:r>
      <w:r>
        <w:rPr>
          <w:rFonts w:ascii="Trebuchet MS" w:hAnsi="Trebuchet MS"/>
          <w:sz w:val="20"/>
          <w:szCs w:val="20"/>
        </w:rPr>
        <w:t>dem sie diese Thematik genauer definiert:</w:t>
      </w:r>
      <w:r w:rsidRPr="00C34E1A">
        <w:rPr>
          <w:rFonts w:ascii="Trebuchet MS" w:hAnsi="Trebuchet MS"/>
          <w:sz w:val="20"/>
          <w:szCs w:val="20"/>
        </w:rPr>
        <w:t xml:space="preserve"> </w:t>
      </w:r>
    </w:p>
    <w:p w14:paraId="03B4FD33" w14:textId="77777777" w:rsidR="00B5681E" w:rsidRDefault="00B5681E" w:rsidP="00B5681E">
      <w:pPr>
        <w:pStyle w:val="Listenabsatz"/>
        <w:numPr>
          <w:ilvl w:val="0"/>
          <w:numId w:val="4"/>
        </w:numPr>
        <w:jc w:val="both"/>
        <w:rPr>
          <w:rFonts w:ascii="Trebuchet MS" w:hAnsi="Trebuchet MS"/>
          <w:sz w:val="20"/>
          <w:szCs w:val="20"/>
        </w:rPr>
      </w:pPr>
      <w:r w:rsidRPr="009045D1">
        <w:rPr>
          <w:rFonts w:ascii="Trebuchet MS" w:hAnsi="Trebuchet MS"/>
          <w:sz w:val="20"/>
          <w:szCs w:val="20"/>
          <w:u w:val="single"/>
        </w:rPr>
        <w:t>Der Verein wurde automatisch vom Volontariatsregister ohne Unterbrechung in das RUNTS übertragen</w:t>
      </w:r>
      <w:r w:rsidRPr="009045D1">
        <w:rPr>
          <w:rFonts w:ascii="Trebuchet MS" w:hAnsi="Trebuchet MS"/>
          <w:sz w:val="20"/>
          <w:szCs w:val="20"/>
        </w:rPr>
        <w:t>:</w:t>
      </w:r>
      <w:r>
        <w:rPr>
          <w:rFonts w:ascii="Trebuchet MS" w:hAnsi="Trebuchet MS"/>
          <w:sz w:val="20"/>
          <w:szCs w:val="20"/>
        </w:rPr>
        <w:t xml:space="preserve"> </w:t>
      </w:r>
      <w:r w:rsidRPr="009045D1">
        <w:rPr>
          <w:rFonts w:ascii="Trebuchet MS" w:hAnsi="Trebuchet MS"/>
          <w:sz w:val="20"/>
          <w:szCs w:val="20"/>
        </w:rPr>
        <w:t>für die Berechnung des Vermögenszuwachses gilt nicht nur der Zeitpunkt der Eintragung in das RUNTS, sondern bereits der Zeitpunkt der Eintragung in das Volontariatsregister. Dies</w:t>
      </w:r>
      <w:r>
        <w:rPr>
          <w:rFonts w:ascii="Trebuchet MS" w:hAnsi="Trebuchet MS"/>
          <w:sz w:val="20"/>
          <w:szCs w:val="20"/>
        </w:rPr>
        <w:t xml:space="preserve"> </w:t>
      </w:r>
      <w:r w:rsidRPr="009045D1">
        <w:rPr>
          <w:rFonts w:ascii="Trebuchet MS" w:hAnsi="Trebuchet MS"/>
          <w:sz w:val="20"/>
          <w:szCs w:val="20"/>
        </w:rPr>
        <w:t>gilt nach Ansicht des Amtes für Freiwilligenwesen und Solidarität auch für jene Vereine, die automatisch aufgrund des Fristverfalles in das RUNTS eingetragen wurden, obwohl diese nicht aktiv die Eintragung beantragt haben.</w:t>
      </w:r>
    </w:p>
    <w:p w14:paraId="51624F04" w14:textId="77777777" w:rsidR="00B5681E" w:rsidRDefault="00B5681E" w:rsidP="00B5681E">
      <w:pPr>
        <w:pStyle w:val="Listenabsatz"/>
        <w:numPr>
          <w:ilvl w:val="0"/>
          <w:numId w:val="4"/>
        </w:numPr>
        <w:jc w:val="both"/>
        <w:rPr>
          <w:rFonts w:ascii="Trebuchet MS" w:hAnsi="Trebuchet MS"/>
          <w:sz w:val="20"/>
          <w:szCs w:val="20"/>
        </w:rPr>
      </w:pPr>
      <w:r w:rsidRPr="009045D1">
        <w:rPr>
          <w:rFonts w:ascii="Trebuchet MS" w:hAnsi="Trebuchet MS"/>
          <w:sz w:val="20"/>
          <w:szCs w:val="20"/>
          <w:u w:val="single"/>
        </w:rPr>
        <w:t>Der Verein hat sich erst neu im Dritten Sektor eingeschrieben</w:t>
      </w:r>
      <w:r>
        <w:rPr>
          <w:rFonts w:ascii="Trebuchet MS" w:hAnsi="Trebuchet MS"/>
          <w:sz w:val="20"/>
          <w:szCs w:val="20"/>
        </w:rPr>
        <w:t>: für die Berechnung des Vermögenszuwachses gilt nur</w:t>
      </w:r>
      <w:r w:rsidRPr="009045D1">
        <w:rPr>
          <w:rFonts w:ascii="Trebuchet MS" w:hAnsi="Trebuchet MS"/>
          <w:sz w:val="20"/>
          <w:szCs w:val="20"/>
        </w:rPr>
        <w:t xml:space="preserve"> de</w:t>
      </w:r>
      <w:r>
        <w:rPr>
          <w:rFonts w:ascii="Trebuchet MS" w:hAnsi="Trebuchet MS"/>
          <w:sz w:val="20"/>
          <w:szCs w:val="20"/>
        </w:rPr>
        <w:t>r</w:t>
      </w:r>
      <w:r w:rsidRPr="009045D1">
        <w:rPr>
          <w:rFonts w:ascii="Trebuchet MS" w:hAnsi="Trebuchet MS"/>
          <w:sz w:val="20"/>
          <w:szCs w:val="20"/>
        </w:rPr>
        <w:t xml:space="preserve"> Zeitpunkt der Eintragung ins RUNTS.</w:t>
      </w:r>
    </w:p>
    <w:p w14:paraId="437E1CDA" w14:textId="77777777" w:rsidR="00B5681E" w:rsidRPr="009045D1" w:rsidRDefault="00B5681E" w:rsidP="00B5681E">
      <w:pPr>
        <w:jc w:val="both"/>
        <w:rPr>
          <w:rFonts w:ascii="Trebuchet MS" w:hAnsi="Trebuchet MS"/>
          <w:sz w:val="20"/>
          <w:szCs w:val="20"/>
        </w:rPr>
      </w:pPr>
      <w:r w:rsidRPr="009045D1">
        <w:rPr>
          <w:rFonts w:ascii="Trebuchet MS" w:hAnsi="Trebuchet MS"/>
          <w:sz w:val="20"/>
          <w:szCs w:val="20"/>
        </w:rPr>
        <w:t xml:space="preserve">Für die Berechnung des Vermögenszuwachses </w:t>
      </w:r>
      <w:r>
        <w:rPr>
          <w:rFonts w:ascii="Trebuchet MS" w:hAnsi="Trebuchet MS"/>
          <w:sz w:val="20"/>
          <w:szCs w:val="20"/>
        </w:rPr>
        <w:t>wird</w:t>
      </w:r>
      <w:r w:rsidRPr="009045D1">
        <w:rPr>
          <w:rFonts w:ascii="Trebuchet MS" w:hAnsi="Trebuchet MS"/>
          <w:sz w:val="20"/>
          <w:szCs w:val="20"/>
        </w:rPr>
        <w:t xml:space="preserve"> sicherlich eine Vermögensaufstellung erstellt werden</w:t>
      </w:r>
      <w:r>
        <w:rPr>
          <w:rFonts w:ascii="Trebuchet MS" w:hAnsi="Trebuchet MS"/>
          <w:sz w:val="20"/>
          <w:szCs w:val="20"/>
        </w:rPr>
        <w:t xml:space="preserve"> müssen</w:t>
      </w:r>
      <w:r w:rsidRPr="009045D1">
        <w:rPr>
          <w:rFonts w:ascii="Trebuchet MS" w:hAnsi="Trebuchet MS"/>
          <w:sz w:val="20"/>
          <w:szCs w:val="20"/>
        </w:rPr>
        <w:t xml:space="preserve">, denn </w:t>
      </w:r>
      <w:r>
        <w:rPr>
          <w:rFonts w:ascii="Trebuchet MS" w:hAnsi="Trebuchet MS"/>
          <w:sz w:val="20"/>
          <w:szCs w:val="20"/>
        </w:rPr>
        <w:t>nur</w:t>
      </w:r>
      <w:r w:rsidRPr="009045D1">
        <w:rPr>
          <w:rFonts w:ascii="Trebuchet MS" w:hAnsi="Trebuchet MS"/>
          <w:sz w:val="20"/>
          <w:szCs w:val="20"/>
        </w:rPr>
        <w:t xml:space="preserve"> mit der Jahresabschlussrechnung kann keine Berechnung durchgeführt werden. </w:t>
      </w:r>
    </w:p>
    <w:p w14:paraId="5825AD36" w14:textId="77777777" w:rsidR="00B5681E" w:rsidRDefault="00B5681E" w:rsidP="00B5681E">
      <w:pPr>
        <w:jc w:val="both"/>
        <w:rPr>
          <w:rFonts w:ascii="Trebuchet MS" w:hAnsi="Trebuchet MS"/>
          <w:sz w:val="20"/>
          <w:szCs w:val="20"/>
          <w:u w:val="single"/>
        </w:rPr>
      </w:pPr>
    </w:p>
    <w:p w14:paraId="3872DE8A" w14:textId="77777777" w:rsidR="00B5681E" w:rsidRPr="0042649E" w:rsidRDefault="00B5681E" w:rsidP="00B5681E">
      <w:pPr>
        <w:pStyle w:val="Listenabsatz"/>
        <w:numPr>
          <w:ilvl w:val="0"/>
          <w:numId w:val="3"/>
        </w:numPr>
        <w:jc w:val="both"/>
        <w:rPr>
          <w:rFonts w:ascii="Trebuchet MS" w:hAnsi="Trebuchet MS"/>
          <w:b/>
          <w:bCs/>
          <w:u w:val="single"/>
        </w:rPr>
      </w:pPr>
      <w:r w:rsidRPr="0042649E">
        <w:rPr>
          <w:rFonts w:ascii="Trebuchet MS" w:hAnsi="Trebuchet MS"/>
          <w:b/>
          <w:bCs/>
          <w:u w:val="single"/>
        </w:rPr>
        <w:t>MwSt.-Nummer notwendig für gewohnheitsmäßige gewerbliche Einnahmen</w:t>
      </w:r>
    </w:p>
    <w:p w14:paraId="29D01985" w14:textId="77777777" w:rsidR="00B5681E" w:rsidRDefault="00B5681E" w:rsidP="00B5681E">
      <w:pPr>
        <w:jc w:val="both"/>
        <w:rPr>
          <w:rFonts w:ascii="Trebuchet MS" w:hAnsi="Trebuchet MS"/>
          <w:sz w:val="20"/>
          <w:szCs w:val="20"/>
        </w:rPr>
      </w:pPr>
      <w:r>
        <w:rPr>
          <w:rFonts w:ascii="Trebuchet MS" w:hAnsi="Trebuchet MS"/>
          <w:sz w:val="20"/>
          <w:szCs w:val="20"/>
        </w:rPr>
        <w:t>Bisher galt mit der Eintragung im Volontariatsregister des Landes, dass eventuelle zusätzliche Einnahmen gewerbliche Nebentätigkeiten darstellten und somit nicht der MwSt. unterworfen werden mussten.</w:t>
      </w:r>
    </w:p>
    <w:p w14:paraId="2F6FBE70" w14:textId="77777777" w:rsidR="00B5681E" w:rsidRDefault="00B5681E" w:rsidP="00B5681E">
      <w:pPr>
        <w:jc w:val="both"/>
        <w:rPr>
          <w:rFonts w:ascii="Trebuchet MS" w:hAnsi="Trebuchet MS"/>
          <w:sz w:val="20"/>
          <w:szCs w:val="20"/>
        </w:rPr>
      </w:pPr>
      <w:r>
        <w:rPr>
          <w:rFonts w:ascii="Trebuchet MS" w:hAnsi="Trebuchet MS"/>
          <w:sz w:val="20"/>
          <w:szCs w:val="20"/>
        </w:rPr>
        <w:t xml:space="preserve">Mit der Eintragung in das RUNTS oder auch im Falle einer Nichteintragung gibt es keine Befreiung mehr, sodass für </w:t>
      </w:r>
      <w:r w:rsidRPr="003D75D8">
        <w:rPr>
          <w:rFonts w:ascii="Trebuchet MS" w:hAnsi="Trebuchet MS"/>
          <w:sz w:val="20"/>
          <w:szCs w:val="20"/>
          <w:u w:val="single"/>
        </w:rPr>
        <w:t>gewohnheitsmäßige gewerbliche Einnahmen</w:t>
      </w:r>
      <w:r>
        <w:rPr>
          <w:rFonts w:ascii="Trebuchet MS" w:hAnsi="Trebuchet MS"/>
          <w:sz w:val="20"/>
          <w:szCs w:val="20"/>
        </w:rPr>
        <w:t xml:space="preserve"> die MwSt. anzuwenden ist. Das Problem an der Gesetzgebung ist, dass es keine einheitliche Auslegung für die beiden Begriffe „gewohnheitsmäßig“ und „gewerblich“ gibt. Es stellt sich so vielfach die Frage, ob z.B. Eintritte bei Theateraufführungen der MwSt. unterworfen werden müssen oder ob ein Sponsoring in diesem Zusammenhang mit MwSt. abzurechnen ist. Laut unseren Interpretationen und verschiedenen Aussagen kann eine einzige Theaterproduktion als „gelegentlich“ angesehen werden, auch wenn mehrere Aufführungen folgen. Gleiches gilt für ein Sponsoring zu dieser Veranstaltung oder die Verabreichung von Speisen und Getränken zu einem moderaten Preis. Falls jedoch mehrere Produktionen im Jahr durchgeführt werden oder auch Speisen und Getränke zu normalen Bar- oder Restaurantpreisen verkauft werden und Sponsorings in einer gewissen Größenordnung anfallen, so muss gemäß dem Vorsichtsprinzip die MwSt. angemeldet und mit MwSt. abgerechnet werden. </w:t>
      </w:r>
    </w:p>
    <w:p w14:paraId="07E35A53" w14:textId="77777777" w:rsidR="00B5681E" w:rsidRDefault="00B5681E" w:rsidP="00B5681E">
      <w:pPr>
        <w:spacing w:before="160" w:after="0"/>
        <w:jc w:val="both"/>
        <w:rPr>
          <w:rFonts w:ascii="Trebuchet MS" w:hAnsi="Trebuchet MS"/>
          <w:sz w:val="20"/>
          <w:szCs w:val="20"/>
        </w:rPr>
      </w:pPr>
      <w:r>
        <w:rPr>
          <w:rFonts w:ascii="Trebuchet MS" w:hAnsi="Trebuchet MS"/>
          <w:sz w:val="20"/>
          <w:szCs w:val="20"/>
        </w:rPr>
        <w:t>Die Geschäftsstelle des Südtiroler Theaterverbandes hilft bei Unklarheiten gerne weiter. Dabei unterstützt werden wir von unserem Wirtschaftsberater, dem Amt für Freiwilligenwesen und Solidarität und dem DZE (Dienstleistungszentrum für das Ehrenamt).</w:t>
      </w:r>
    </w:p>
    <w:p w14:paraId="13E9C18F" w14:textId="77777777" w:rsidR="00CF0524" w:rsidRDefault="00CF0524" w:rsidP="00B5681E">
      <w:pPr>
        <w:spacing w:before="160" w:after="0"/>
        <w:jc w:val="both"/>
        <w:rPr>
          <w:rFonts w:ascii="Trebuchet MS" w:hAnsi="Trebuchet MS"/>
          <w:sz w:val="20"/>
          <w:szCs w:val="20"/>
        </w:rPr>
      </w:pPr>
    </w:p>
    <w:p w14:paraId="3E181A21" w14:textId="0CA0FA6F" w:rsidR="00CF0524" w:rsidRDefault="00CF0524" w:rsidP="00B5681E">
      <w:pPr>
        <w:spacing w:before="160" w:after="0"/>
        <w:jc w:val="both"/>
        <w:rPr>
          <w:rFonts w:ascii="Trebuchet MS" w:hAnsi="Trebuchet MS"/>
          <w:sz w:val="20"/>
          <w:szCs w:val="20"/>
        </w:rPr>
      </w:pPr>
      <w:r>
        <w:rPr>
          <w:rFonts w:ascii="Trebuchet MS" w:hAnsi="Trebuchet MS"/>
          <w:sz w:val="20"/>
          <w:szCs w:val="20"/>
        </w:rPr>
        <w:t>30.08.2024</w:t>
      </w:r>
    </w:p>
    <w:sectPr w:rsidR="00CF0524" w:rsidSect="00544E0A">
      <w:pgSz w:w="11906" w:h="16838"/>
      <w:pgMar w:top="737" w:right="1418"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A0EAA"/>
    <w:multiLevelType w:val="hybridMultilevel"/>
    <w:tmpl w:val="929C0D2A"/>
    <w:lvl w:ilvl="0" w:tplc="9894D9B6">
      <w:numFmt w:val="bullet"/>
      <w:lvlText w:val="-"/>
      <w:lvlJc w:val="left"/>
      <w:pPr>
        <w:ind w:left="720" w:hanging="360"/>
      </w:pPr>
      <w:rPr>
        <w:rFonts w:ascii="Trebuchet MS" w:eastAsiaTheme="minorHAnsi" w:hAnsi="Trebuchet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3E031BC"/>
    <w:multiLevelType w:val="hybridMultilevel"/>
    <w:tmpl w:val="6E344D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7195468"/>
    <w:multiLevelType w:val="hybridMultilevel"/>
    <w:tmpl w:val="9F14325A"/>
    <w:lvl w:ilvl="0" w:tplc="63B471A8">
      <w:numFmt w:val="bullet"/>
      <w:lvlText w:val="-"/>
      <w:lvlJc w:val="left"/>
      <w:pPr>
        <w:ind w:left="720" w:hanging="360"/>
      </w:pPr>
      <w:rPr>
        <w:rFonts w:ascii="Trebuchet MS" w:eastAsiaTheme="minorHAnsi" w:hAnsi="Trebuchet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377DC2"/>
    <w:multiLevelType w:val="hybridMultilevel"/>
    <w:tmpl w:val="6AE8E0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7384106">
    <w:abstractNumId w:val="2"/>
  </w:num>
  <w:num w:numId="2" w16cid:durableId="408312609">
    <w:abstractNumId w:val="0"/>
  </w:num>
  <w:num w:numId="3" w16cid:durableId="101998863">
    <w:abstractNumId w:val="3"/>
  </w:num>
  <w:num w:numId="4" w16cid:durableId="1947694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81E"/>
    <w:rsid w:val="00017612"/>
    <w:rsid w:val="00544E0A"/>
    <w:rsid w:val="0055346F"/>
    <w:rsid w:val="006B7294"/>
    <w:rsid w:val="00731B4A"/>
    <w:rsid w:val="00903864"/>
    <w:rsid w:val="009E11D8"/>
    <w:rsid w:val="009F2C19"/>
    <w:rsid w:val="00A7233A"/>
    <w:rsid w:val="00B5681E"/>
    <w:rsid w:val="00CE2415"/>
    <w:rsid w:val="00CF05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F574"/>
  <w15:chartTrackingRefBased/>
  <w15:docId w15:val="{B84D1041-6787-4438-8F65-4AC34C6B5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681E"/>
    <w:rPr>
      <w:kern w:val="0"/>
      <w14:ligatures w14:val="none"/>
    </w:rPr>
  </w:style>
  <w:style w:type="paragraph" w:styleId="berschrift1">
    <w:name w:val="heading 1"/>
    <w:basedOn w:val="Standard"/>
    <w:next w:val="Standard"/>
    <w:link w:val="berschrift1Zchn"/>
    <w:uiPriority w:val="9"/>
    <w:qFormat/>
    <w:rsid w:val="00B568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568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5681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5681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5681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5681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5681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5681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5681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5681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5681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5681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5681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5681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5681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5681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5681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5681E"/>
    <w:rPr>
      <w:rFonts w:eastAsiaTheme="majorEastAsia" w:cstheme="majorBidi"/>
      <w:color w:val="272727" w:themeColor="text1" w:themeTint="D8"/>
    </w:rPr>
  </w:style>
  <w:style w:type="paragraph" w:styleId="Titel">
    <w:name w:val="Title"/>
    <w:basedOn w:val="Standard"/>
    <w:next w:val="Standard"/>
    <w:link w:val="TitelZchn"/>
    <w:uiPriority w:val="10"/>
    <w:qFormat/>
    <w:rsid w:val="00B568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5681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5681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5681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5681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5681E"/>
    <w:rPr>
      <w:i/>
      <w:iCs/>
      <w:color w:val="404040" w:themeColor="text1" w:themeTint="BF"/>
    </w:rPr>
  </w:style>
  <w:style w:type="paragraph" w:styleId="Listenabsatz">
    <w:name w:val="List Paragraph"/>
    <w:basedOn w:val="Standard"/>
    <w:uiPriority w:val="34"/>
    <w:qFormat/>
    <w:rsid w:val="00B5681E"/>
    <w:pPr>
      <w:ind w:left="720"/>
      <w:contextualSpacing/>
    </w:pPr>
  </w:style>
  <w:style w:type="character" w:styleId="IntensiveHervorhebung">
    <w:name w:val="Intense Emphasis"/>
    <w:basedOn w:val="Absatz-Standardschriftart"/>
    <w:uiPriority w:val="21"/>
    <w:qFormat/>
    <w:rsid w:val="00B5681E"/>
    <w:rPr>
      <w:i/>
      <w:iCs/>
      <w:color w:val="0F4761" w:themeColor="accent1" w:themeShade="BF"/>
    </w:rPr>
  </w:style>
  <w:style w:type="paragraph" w:styleId="IntensivesZitat">
    <w:name w:val="Intense Quote"/>
    <w:basedOn w:val="Standard"/>
    <w:next w:val="Standard"/>
    <w:link w:val="IntensivesZitatZchn"/>
    <w:uiPriority w:val="30"/>
    <w:qFormat/>
    <w:rsid w:val="00B568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5681E"/>
    <w:rPr>
      <w:i/>
      <w:iCs/>
      <w:color w:val="0F4761" w:themeColor="accent1" w:themeShade="BF"/>
    </w:rPr>
  </w:style>
  <w:style w:type="character" w:styleId="IntensiverVerweis">
    <w:name w:val="Intense Reference"/>
    <w:basedOn w:val="Absatz-Standardschriftart"/>
    <w:uiPriority w:val="32"/>
    <w:qFormat/>
    <w:rsid w:val="00B5681E"/>
    <w:rPr>
      <w:b/>
      <w:bCs/>
      <w:smallCaps/>
      <w:color w:val="0F4761" w:themeColor="accent1" w:themeShade="BF"/>
      <w:spacing w:val="5"/>
    </w:rPr>
  </w:style>
  <w:style w:type="character" w:styleId="Hyperlink">
    <w:name w:val="Hyperlink"/>
    <w:basedOn w:val="Absatz-Standardschriftart"/>
    <w:uiPriority w:val="99"/>
    <w:semiHidden/>
    <w:unhideWhenUsed/>
    <w:rsid w:val="00B568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0819231">
      <w:bodyDiv w:val="1"/>
      <w:marLeft w:val="0"/>
      <w:marRight w:val="0"/>
      <w:marTop w:val="0"/>
      <w:marBottom w:val="0"/>
      <w:divBdr>
        <w:top w:val="none" w:sz="0" w:space="0" w:color="auto"/>
        <w:left w:val="none" w:sz="0" w:space="0" w:color="auto"/>
        <w:bottom w:val="none" w:sz="0" w:space="0" w:color="auto"/>
        <w:right w:val="none" w:sz="0" w:space="0" w:color="auto"/>
      </w:divBdr>
    </w:div>
    <w:div w:id="202585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u6UYUqpdI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f91c9f-3ee2-4339-9df1-ff1387d6ad7e">
      <Terms xmlns="http://schemas.microsoft.com/office/infopath/2007/PartnerControls"/>
    </lcf76f155ced4ddcb4097134ff3c332f>
    <TaxCatchAll xmlns="4f492014-8ba0-4ef5-9762-5de4b4774a7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2BC99AA4780E34DAB73EAA965E23528" ma:contentTypeVersion="19" ma:contentTypeDescription="Ein neues Dokument erstellen." ma:contentTypeScope="" ma:versionID="bf1c8242a178a3096d85088ab8ccf4cf">
  <xsd:schema xmlns:xsd="http://www.w3.org/2001/XMLSchema" xmlns:xs="http://www.w3.org/2001/XMLSchema" xmlns:p="http://schemas.microsoft.com/office/2006/metadata/properties" xmlns:ns2="d8f91c9f-3ee2-4339-9df1-ff1387d6ad7e" xmlns:ns3="4f492014-8ba0-4ef5-9762-5de4b4774a7e" targetNamespace="http://schemas.microsoft.com/office/2006/metadata/properties" ma:root="true" ma:fieldsID="9ddffdfebca1cb300fda1e46ac3be24a" ns2:_="" ns3:_="">
    <xsd:import namespace="d8f91c9f-3ee2-4339-9df1-ff1387d6ad7e"/>
    <xsd:import namespace="4f492014-8ba0-4ef5-9762-5de4b4774a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91c9f-3ee2-4339-9df1-ff1387d6ad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e1dee1c-5834-42a7-a680-0b57875c54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492014-8ba0-4ef5-9762-5de4b4774a7e"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f4565e5f-72ed-48b7-8fe0-7bcca7a86792}" ma:internalName="TaxCatchAll" ma:showField="CatchAllData" ma:web="4f492014-8ba0-4ef5-9762-5de4b4774a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FFF15B-938D-45B3-BA7D-D803D7BE99BF}">
  <ds:schemaRefs>
    <ds:schemaRef ds:uri="http://schemas.microsoft.com/sharepoint/v3/contenttype/forms"/>
  </ds:schemaRefs>
</ds:datastoreItem>
</file>

<file path=customXml/itemProps2.xml><?xml version="1.0" encoding="utf-8"?>
<ds:datastoreItem xmlns:ds="http://schemas.openxmlformats.org/officeDocument/2006/customXml" ds:itemID="{5C5C7F9E-6DB6-4D8E-8DC8-13CBAD745677}">
  <ds:schemaRefs>
    <ds:schemaRef ds:uri="http://schemas.microsoft.com/office/2006/metadata/properties"/>
    <ds:schemaRef ds:uri="http://schemas.microsoft.com/office/infopath/2007/PartnerControls"/>
    <ds:schemaRef ds:uri="d8f91c9f-3ee2-4339-9df1-ff1387d6ad7e"/>
    <ds:schemaRef ds:uri="4f492014-8ba0-4ef5-9762-5de4b4774a7e"/>
  </ds:schemaRefs>
</ds:datastoreItem>
</file>

<file path=customXml/itemProps3.xml><?xml version="1.0" encoding="utf-8"?>
<ds:datastoreItem xmlns:ds="http://schemas.openxmlformats.org/officeDocument/2006/customXml" ds:itemID="{496F6148-9D49-409F-99B8-5135D7845F2B}"/>
</file>

<file path=docProps/app.xml><?xml version="1.0" encoding="utf-8"?>
<Properties xmlns="http://schemas.openxmlformats.org/officeDocument/2006/extended-properties" xmlns:vt="http://schemas.openxmlformats.org/officeDocument/2006/docPropsVTypes">
  <Template>Normal.dotm</Template>
  <TotalTime>0</TotalTime>
  <Pages>3</Pages>
  <Words>1509</Words>
  <Characters>9510</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Lechthaler</dc:creator>
  <cp:keywords/>
  <dc:description/>
  <cp:lastModifiedBy>Ruth Lechthaler</cp:lastModifiedBy>
  <cp:revision>5</cp:revision>
  <dcterms:created xsi:type="dcterms:W3CDTF">2024-09-02T12:07:00Z</dcterms:created>
  <dcterms:modified xsi:type="dcterms:W3CDTF">2025-05-29T09:31:00Z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0x01010072BC99AA4780E34DAB73EAA965E23528</vt:lpwstr>
  </property>
  <property fmtid="{D5CDD505-2E9C-101B-9397-08002B2CF9AE}" pid="3" name="MediaServiceImageTags">
    <vt:lpwstr/>
  </property>
</Properties>
</file>